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tbl>
      <w:tblPr>
        <w:tblStyle w:val="Table1"/>
        <w:tblpPr w:leftFromText="141" w:rightFromText="141" w:topFromText="0" w:bottomFromText="0" w:vertAnchor="text" w:horzAnchor="text" w:tblpX="30" w:tblpY="107"/>
        <w:tblW w:w="9720.0" w:type="dxa"/>
        <w:jc w:val="left"/>
        <w:tblInd w:w="-108.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000"/>
      </w:tblPr>
      <w:tblGrid>
        <w:gridCol w:w="9720"/>
        <w:tblGridChange w:id="0">
          <w:tblGrid>
            <w:gridCol w:w="9720"/>
          </w:tblGrid>
        </w:tblGridChange>
      </w:tblGrid>
      <w:tr>
        <w:trPr>
          <w:cantSplit w:val="0"/>
          <w:trHeight w:val="877" w:hRule="atLeast"/>
          <w:tblHeader w:val="0"/>
        </w:trPr>
        <w:tc>
          <w:tcPr>
            <w:vAlign w:val="center"/>
          </w:tcPr>
          <w:p w:rsidR="00000000" w:rsidDel="00000000" w:rsidP="00000000" w:rsidRDefault="00000000" w:rsidRPr="00000000" w14:paraId="00000002">
            <w:pPr>
              <w:spacing w:after="240" w:lineRule="auto"/>
              <w:rPr>
                <w:rFonts w:ascii="Calibri" w:cs="Calibri" w:eastAsia="Calibri" w:hAnsi="Calibri"/>
                <w:b w:val="1"/>
              </w:rPr>
            </w:pPr>
            <w:r w:rsidDel="00000000" w:rsidR="00000000" w:rsidRPr="00000000">
              <w:rPr>
                <w:rFonts w:ascii="Calibri" w:cs="Calibri" w:eastAsia="Calibri" w:hAnsi="Calibri"/>
                <w:b w:val="1"/>
                <w:rtl w:val="0"/>
              </w:rPr>
              <w:t xml:space="preserve">ACTIVIDADES 2025</w:t>
            </w:r>
          </w:p>
          <w:p w:rsidR="00000000" w:rsidDel="00000000" w:rsidP="00000000" w:rsidRDefault="00000000" w:rsidRPr="00000000" w14:paraId="00000003">
            <w:pPr>
              <w:spacing w:after="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Inició el Programa de Operativos de Atención Integral en Salud en Los Zazos</w:t>
            </w:r>
          </w:p>
        </w:tc>
      </w:tr>
      <w:tr>
        <w:trPr>
          <w:cantSplit w:val="0"/>
          <w:trHeight w:val="1266" w:hRule="atLeast"/>
          <w:tblHeader w:val="0"/>
        </w:trPr>
        <w:tc>
          <w:tcPr>
            <w:vAlign w:val="top"/>
          </w:tcPr>
          <w:p w:rsidR="00000000" w:rsidDel="00000000" w:rsidP="00000000" w:rsidRDefault="00000000" w:rsidRPr="00000000" w14:paraId="00000004">
            <w:pPr>
              <w:spacing w:after="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Los días 28 y 29 de enero se realizó en Los Zazos, Amaicha del Valle, el primer operativo del programa que prioriza brindar accesibilidad a salud integral para los pobladores adultos de zonas dispersas, aisladas y con dificultades de traslado.</w:t>
            </w:r>
          </w:p>
          <w:p w:rsidR="00000000" w:rsidDel="00000000" w:rsidP="00000000" w:rsidRDefault="00000000" w:rsidRPr="00000000" w14:paraId="00000005">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Los operativos, que se realizan con una frecuencia mensual, buscan en coincidencia con lo dispuesto por el gobernador </w:t>
            </w:r>
            <w:r w:rsidDel="00000000" w:rsidR="00000000" w:rsidRPr="00000000">
              <w:rPr>
                <w:rFonts w:ascii="Calibri" w:cs="Calibri" w:eastAsia="Calibri" w:hAnsi="Calibri"/>
                <w:b w:val="1"/>
                <w:rtl w:val="0"/>
              </w:rPr>
              <w:t xml:space="preserve">Osvaldo Jaldo</w:t>
            </w:r>
            <w:r w:rsidDel="00000000" w:rsidR="00000000" w:rsidRPr="00000000">
              <w:rPr>
                <w:rFonts w:ascii="Calibri" w:cs="Calibri" w:eastAsia="Calibri" w:hAnsi="Calibri"/>
                <w:rtl w:val="0"/>
              </w:rPr>
              <w:t xml:space="preserve"> y el ministro de Salud Pública, doctor </w:t>
            </w:r>
            <w:r w:rsidDel="00000000" w:rsidR="00000000" w:rsidRPr="00000000">
              <w:rPr>
                <w:rFonts w:ascii="Calibri" w:cs="Calibri" w:eastAsia="Calibri" w:hAnsi="Calibri"/>
                <w:b w:val="1"/>
                <w:rtl w:val="0"/>
              </w:rPr>
              <w:t xml:space="preserve">Luis Medina Ruiz</w:t>
            </w:r>
            <w:r w:rsidDel="00000000" w:rsidR="00000000" w:rsidRPr="00000000">
              <w:rPr>
                <w:rFonts w:ascii="Calibri" w:cs="Calibri" w:eastAsia="Calibri" w:hAnsi="Calibri"/>
                <w:rtl w:val="0"/>
              </w:rPr>
              <w:t xml:space="preserve">, acercar salud a todas las comunidades por igual. En la ocasión la Escuela de Los Zazos fue el lugar escogido para las jornadas en las que se ofrecieron controles médicos, de enfermería, especialidades como oftalmología, cardiología, ginecología, obstetricia, ecografía y laboratorio, entre otras.</w:t>
            </w:r>
          </w:p>
          <w:p w:rsidR="00000000" w:rsidDel="00000000" w:rsidP="00000000" w:rsidRDefault="00000000" w:rsidRPr="00000000" w14:paraId="00000006">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“Se prioriza la atención y controles de pacientes con enfermedades crónicas no transmisibles y mujeres mayores de 20 años para su control integral ginecológico. Se armaron como postas los diferentes consultorios por aulas y además de los controles regulares, se realizó screening de hidatidosis, chagas y brucelosis”, comentó la directora del Área Programática Oeste, doctora </w:t>
            </w:r>
            <w:r w:rsidDel="00000000" w:rsidR="00000000" w:rsidRPr="00000000">
              <w:rPr>
                <w:rFonts w:ascii="Calibri" w:cs="Calibri" w:eastAsia="Calibri" w:hAnsi="Calibri"/>
                <w:b w:val="1"/>
                <w:rtl w:val="0"/>
              </w:rPr>
              <w:t xml:space="preserve">Yolanda Breppe</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Durante las dos jornadas se atendieron 47 personas, de los cuales el 38 por ciento eran pacientes diabéticos e hipertensos, que fueron convocados por los agentes sanitarios ya que se encuentran </w:t>
            </w:r>
            <w:r w:rsidDel="00000000" w:rsidR="00000000" w:rsidRPr="00000000">
              <w:rPr>
                <w:rFonts w:ascii="Calibri" w:cs="Calibri" w:eastAsia="Calibri" w:hAnsi="Calibri"/>
                <w:rtl w:val="0"/>
              </w:rPr>
              <w:t xml:space="preserve">nominalizados</w:t>
            </w:r>
            <w:r w:rsidDel="00000000" w:rsidR="00000000" w:rsidRPr="00000000">
              <w:rPr>
                <w:rFonts w:ascii="Calibri" w:cs="Calibri" w:eastAsia="Calibri" w:hAnsi="Calibri"/>
                <w:rtl w:val="0"/>
              </w:rPr>
              <w:t xml:space="preserve">, para que aprovechen en una sola jornada a reunir todos los controles de salud.</w:t>
            </w:r>
          </w:p>
          <w:p w:rsidR="00000000" w:rsidDel="00000000" w:rsidP="00000000" w:rsidRDefault="00000000" w:rsidRPr="00000000" w14:paraId="00000008">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“72 mujeres realizaron el circuito de salud de la mujer, que además de los controles sanitarios regulares incluyen una interconsulta con ginecología y obstetricia, así como consejería y PAP. En mayores de 40 años se gestionaron turnos de mamografía para el hospital de Tafí del Valle. Los viernes se reúnen grupos de 13 mujeres y se dispone de un móvil para realizar el traslado para que puedan realizarse el estudio”, agregó.</w:t>
            </w:r>
          </w:p>
          <w:p w:rsidR="00000000" w:rsidDel="00000000" w:rsidP="00000000" w:rsidRDefault="00000000" w:rsidRPr="00000000" w14:paraId="00000009">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Se concretaron a la vez 73 ecografías abdominales, se evaluaron 64 pacientes con el oftalmólogo y se realizaron 87 laboratorios.</w:t>
            </w:r>
          </w:p>
        </w:tc>
      </w:tr>
      <w:tr>
        <w:trPr>
          <w:cantSplit w:val="0"/>
          <w:trHeight w:val="514" w:hRule="atLeast"/>
          <w:tblHeader w:val="0"/>
        </w:trPr>
        <w:tc>
          <w:tcPr>
            <w:vAlign w:val="center"/>
          </w:tcPr>
          <w:p w:rsidR="00000000" w:rsidDel="00000000" w:rsidP="00000000" w:rsidRDefault="00000000" w:rsidRPr="00000000" w14:paraId="0000000A">
            <w:pPr>
              <w:widowControl w:val="1"/>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Entrevistas: </w:t>
            </w:r>
            <w:r w:rsidDel="00000000" w:rsidR="00000000" w:rsidRPr="00000000">
              <w:rPr>
                <w:rtl w:val="0"/>
              </w:rPr>
            </w:r>
          </w:p>
          <w:p w:rsidR="00000000" w:rsidDel="00000000" w:rsidP="00000000" w:rsidRDefault="00000000" w:rsidRPr="00000000" w14:paraId="0000000B">
            <w:pPr>
              <w:numPr>
                <w:ilvl w:val="0"/>
                <w:numId w:val="1"/>
              </w:numPr>
              <w:spacing w:after="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directora del Área Programática Oeste, doctora </w:t>
            </w:r>
            <w:r w:rsidDel="00000000" w:rsidR="00000000" w:rsidRPr="00000000">
              <w:rPr>
                <w:rFonts w:ascii="Calibri" w:cs="Calibri" w:eastAsia="Calibri" w:hAnsi="Calibri"/>
                <w:b w:val="1"/>
                <w:rtl w:val="0"/>
              </w:rPr>
              <w:t xml:space="preserve">Yolanda Breppe</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544" w:hRule="atLeast"/>
          <w:tblHeader w:val="0"/>
        </w:trPr>
        <w:tc>
          <w:tcPr>
            <w:vAlign w:val="center"/>
          </w:tcPr>
          <w:p w:rsidR="00000000" w:rsidDel="00000000" w:rsidP="00000000" w:rsidRDefault="00000000" w:rsidRPr="00000000" w14:paraId="0000000C">
            <w:pPr>
              <w:widowControl w:val="1"/>
              <w:rPr>
                <w:rFonts w:ascii="Calibri" w:cs="Calibri" w:eastAsia="Calibri" w:hAnsi="Calibri"/>
                <w:b w:val="0"/>
                <w:i w:val="0"/>
                <w:color w:val="939393"/>
                <w:vertAlign w:val="baseline"/>
              </w:rPr>
            </w:pPr>
            <w:r w:rsidDel="00000000" w:rsidR="00000000" w:rsidRPr="00000000">
              <w:rPr>
                <w:rFonts w:ascii="Calibri" w:cs="Calibri" w:eastAsia="Calibri" w:hAnsi="Calibri"/>
                <w:b w:val="1"/>
                <w:i w:val="1"/>
                <w:color w:val="939393"/>
                <w:vertAlign w:val="baseline"/>
                <w:rtl w:val="0"/>
              </w:rPr>
              <w:t xml:space="preserve">Información adicional – Contacto:</w:t>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134" w:right="849" w:header="568" w:footer="5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-17779</wp:posOffset>
              </wp:positionV>
              <wp:extent cx="2224405" cy="288925"/>
              <wp:effectExtent b="0" l="0" r="0" t="0"/>
              <wp:wrapSquare wrapText="bothSides" distB="45720" distT="45720" distL="114300" distR="114300"/>
              <wp:docPr id="5" name=""/>
              <a:graphic>
                <a:graphicData uri="http://schemas.microsoft.com/office/word/2010/wordprocessingShape">
                  <wps:wsp>
                    <wps:cNvSpPr/>
                    <wps:cNvPr id="2" name="Shape 2"/>
                    <wps:spPr>
                      <a:xfrm>
                        <a:off x="4248085" y="3649825"/>
                        <a:ext cx="2195830" cy="260350"/>
                      </a:xfrm>
                      <a:prstGeom prst="rect">
                        <a:avLst/>
                      </a:prstGeom>
                      <a:solidFill>
                        <a:srgbClr val="005CA2"/>
                      </a:solidFill>
                      <a:ln cap="flat" cmpd="sng" w="9525">
                        <a:solidFill>
                          <a:srgbClr val="84CFE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 w:cs="Gotham" w:eastAsia="Gotham" w:hAnsi="Gotham"/>
                              <w:b w:val="0"/>
                              <w:i w:val="0"/>
                              <w:smallCaps w:val="0"/>
                              <w:strike w:val="0"/>
                              <w:color w:val="ffffff"/>
                              <w:sz w:val="24"/>
                              <w:vertAlign w:val="baseline"/>
                            </w:rPr>
                            <w:t xml:space="preserve">GACETILLA DE PRENSA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 w:cs="Gotham" w:eastAsia="Gotham" w:hAnsi="Gotham"/>
                              <w:b w:val="0"/>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-17779</wp:posOffset>
              </wp:positionV>
              <wp:extent cx="2224405" cy="288925"/>
              <wp:effectExtent b="0" l="0" r="0" t="0"/>
              <wp:wrapSquare wrapText="bothSides" distB="45720" distT="45720" distL="114300" distR="114300"/>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24405" cy="2889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2856230</wp:posOffset>
          </wp:positionH>
          <wp:positionV relativeFrom="paragraph">
            <wp:posOffset>-272412</wp:posOffset>
          </wp:positionV>
          <wp:extent cx="3206750" cy="80391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206750" cy="80391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A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cs="Mangal" w:eastAsia="Arial Unicode MS" w:hAnsi="Times New Roman"/>
      <w:w w:val="100"/>
      <w:kern w:val="1"/>
      <w:position w:val="-1"/>
      <w:sz w:val="24"/>
      <w:szCs w:val="24"/>
      <w:effect w:val="none"/>
      <w:vertAlign w:val="baseline"/>
      <w:cs w:val="0"/>
      <w:em w:val="none"/>
      <w:lang w:bidi="hi-IN" w:eastAsia="hi-IN"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widowControl w:val="0"/>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Times New Roman" w:cs="Mangal" w:eastAsia="Arial Unicode MS" w:hAnsi="Times New Roman"/>
      <w:w w:val="100"/>
      <w:kern w:val="1"/>
      <w:position w:val="-1"/>
      <w:sz w:val="24"/>
      <w:szCs w:val="24"/>
      <w:effect w:val="none"/>
      <w:vertAlign w:val="baseline"/>
      <w:cs w:val="0"/>
      <w:em w:val="none"/>
      <w:lang w:bidi="hi-IN" w:eastAsia="hi-IN" w:val="und"/>
    </w:rPr>
  </w:style>
  <w:style w:type="character" w:styleId="EncabezadoCar">
    <w:name w:val="Encabezado Car"/>
    <w:next w:val="EncabezadoCar"/>
    <w:autoRedefine w:val="0"/>
    <w:hidden w:val="0"/>
    <w:qFormat w:val="0"/>
    <w:rPr>
      <w:rFonts w:ascii="Times New Roman" w:cs="Mangal" w:eastAsia="Arial Unicode MS" w:hAnsi="Times New Roman"/>
      <w:w w:val="100"/>
      <w:kern w:val="1"/>
      <w:position w:val="-1"/>
      <w:sz w:val="24"/>
      <w:szCs w:val="24"/>
      <w:effect w:val="none"/>
      <w:vertAlign w:val="baseline"/>
      <w:cs w:val="0"/>
      <w:em w:val="none"/>
      <w:lang w:bidi="hi-IN" w:eastAsia="hi-IN"/>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es-AR" w:val="es-AR"/>
    </w:rPr>
  </w:style>
  <w:style w:type="paragraph" w:styleId="Piedepágina">
    <w:name w:val="Pie de página"/>
    <w:basedOn w:val="Normal"/>
    <w:next w:val="Piedepágina"/>
    <w:autoRedefine w:val="0"/>
    <w:hidden w:val="0"/>
    <w:qFormat w:val="1"/>
    <w:pPr>
      <w:widowControl w:val="0"/>
      <w:tabs>
        <w:tab w:val="center" w:leader="none" w:pos="4419"/>
        <w:tab w:val="right" w:leader="none" w:pos="8838"/>
      </w:tabs>
      <w:suppressAutoHyphens w:val="0"/>
      <w:spacing w:line="1" w:lineRule="atLeast"/>
      <w:ind w:leftChars="-1" w:rightChars="0" w:firstLineChars="-1"/>
      <w:textDirection w:val="btLr"/>
      <w:textAlignment w:val="top"/>
      <w:outlineLvl w:val="0"/>
    </w:pPr>
    <w:rPr>
      <w:rFonts w:ascii="Times New Roman" w:cs="Mangal" w:eastAsia="Arial Unicode MS" w:hAnsi="Times New Roman"/>
      <w:w w:val="100"/>
      <w:kern w:val="1"/>
      <w:position w:val="-1"/>
      <w:sz w:val="24"/>
      <w:szCs w:val="21"/>
      <w:effect w:val="none"/>
      <w:vertAlign w:val="baseline"/>
      <w:cs w:val="0"/>
      <w:em w:val="none"/>
      <w:lang w:bidi="hi-IN" w:eastAsia="hi-IN" w:val="und"/>
    </w:rPr>
  </w:style>
  <w:style w:type="character" w:styleId="PiedepáginaCar">
    <w:name w:val="Pie de página Car"/>
    <w:next w:val="PiedepáginaCar"/>
    <w:autoRedefine w:val="0"/>
    <w:hidden w:val="0"/>
    <w:qFormat w:val="0"/>
    <w:rPr>
      <w:rFonts w:ascii="Times New Roman" w:cs="Mangal" w:eastAsia="Arial Unicode MS" w:hAnsi="Times New Roman"/>
      <w:w w:val="100"/>
      <w:kern w:val="1"/>
      <w:position w:val="-1"/>
      <w:sz w:val="24"/>
      <w:szCs w:val="21"/>
      <w:effect w:val="none"/>
      <w:vertAlign w:val="baseline"/>
      <w:cs w:val="0"/>
      <w:em w:val="none"/>
      <w:lang w:bidi="hi-IN" w:eastAsia="hi-IN"/>
    </w:rPr>
  </w:style>
  <w:style w:type="paragraph" w:styleId="Textodeglobo">
    <w:name w:val="Texto de globo"/>
    <w:basedOn w:val="Normal"/>
    <w:next w:val="Textodeglobo"/>
    <w:autoRedefine w:val="0"/>
    <w:hidden w:val="0"/>
    <w:qFormat w:val="1"/>
    <w:pPr>
      <w:widowControl w:val="0"/>
      <w:suppressAutoHyphens w:val="0"/>
      <w:spacing w:line="1" w:lineRule="atLeast"/>
      <w:ind w:leftChars="-1" w:rightChars="0" w:firstLineChars="-1"/>
      <w:textDirection w:val="btLr"/>
      <w:textAlignment w:val="top"/>
      <w:outlineLvl w:val="0"/>
    </w:pPr>
    <w:rPr>
      <w:rFonts w:ascii="Segoe UI" w:cs="Mangal" w:eastAsia="Arial Unicode MS" w:hAnsi="Segoe UI"/>
      <w:w w:val="100"/>
      <w:kern w:val="1"/>
      <w:position w:val="-1"/>
      <w:sz w:val="18"/>
      <w:szCs w:val="16"/>
      <w:effect w:val="none"/>
      <w:vertAlign w:val="baseline"/>
      <w:cs w:val="0"/>
      <w:em w:val="none"/>
      <w:lang w:bidi="hi-IN" w:eastAsia="hi-IN" w:val="und"/>
    </w:rPr>
  </w:style>
  <w:style w:type="character" w:styleId="TextodegloboCar">
    <w:name w:val="Texto de globo Car"/>
    <w:next w:val="TextodegloboCar"/>
    <w:autoRedefine w:val="0"/>
    <w:hidden w:val="0"/>
    <w:qFormat w:val="0"/>
    <w:rPr>
      <w:rFonts w:ascii="Segoe UI" w:cs="Mangal" w:eastAsia="Arial Unicode MS" w:hAnsi="Segoe UI"/>
      <w:w w:val="100"/>
      <w:kern w:val="1"/>
      <w:position w:val="-1"/>
      <w:sz w:val="18"/>
      <w:szCs w:val="16"/>
      <w:effect w:val="none"/>
      <w:vertAlign w:val="baseline"/>
      <w:cs w:val="0"/>
      <w:em w:val="none"/>
      <w:lang w:bidi="hi-IN" w:eastAsia="hi-IN"/>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Ua7lqKDD2mTpHPGkosQEDI+XA==">CgMxLjA4AHIhMUhkSjR0MHZ2ZzZBTmVVRkVwN1JmYmJvVmlRT2xEN0Fl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2025-01-29T16:11:00Z</dcterms:created>
  <dc:creator>Mariana</dc:creator>
</cp:coreProperties>
</file>